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D95" w:rsidRDefault="00367D95">
      <w:pPr>
        <w:pStyle w:val="ConsPlusNormal"/>
        <w:outlineLvl w:val="0"/>
      </w:pPr>
      <w:r>
        <w:t>Зарегистрировано в Минюсте России 23 апреля 2025 г. N 81940</w:t>
      </w:r>
    </w:p>
    <w:p w:rsidR="00367D95" w:rsidRDefault="00367D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7D95" w:rsidRDefault="00367D95">
      <w:pPr>
        <w:pStyle w:val="ConsPlusNormal"/>
        <w:jc w:val="both"/>
      </w:pPr>
    </w:p>
    <w:p w:rsidR="00367D95" w:rsidRDefault="00367D95">
      <w:pPr>
        <w:pStyle w:val="ConsPlusTitle"/>
        <w:jc w:val="center"/>
      </w:pPr>
      <w:r>
        <w:t>МИНИСТЕРСТВО ПРИРОДНЫХ РЕСУРСОВ И ЭКОЛОГИИ</w:t>
      </w:r>
    </w:p>
    <w:p w:rsidR="00367D95" w:rsidRDefault="00367D95">
      <w:pPr>
        <w:pStyle w:val="ConsPlusTitle"/>
        <w:jc w:val="center"/>
      </w:pPr>
      <w:r>
        <w:t>РОССИЙСКОЙ ФЕДЕРАЦИИ</w:t>
      </w:r>
    </w:p>
    <w:p w:rsidR="00367D95" w:rsidRDefault="00367D95">
      <w:pPr>
        <w:pStyle w:val="ConsPlusTitle"/>
        <w:jc w:val="center"/>
      </w:pPr>
    </w:p>
    <w:p w:rsidR="00367D95" w:rsidRDefault="00367D95">
      <w:pPr>
        <w:pStyle w:val="ConsPlusTitle"/>
        <w:jc w:val="center"/>
      </w:pPr>
      <w:r>
        <w:t>ПРИКАЗ</w:t>
      </w:r>
    </w:p>
    <w:p w:rsidR="00367D95" w:rsidRDefault="00367D95">
      <w:pPr>
        <w:pStyle w:val="ConsPlusTitle"/>
        <w:jc w:val="center"/>
      </w:pPr>
      <w:r>
        <w:t>от 9 апреля 2025 г. N 184</w:t>
      </w:r>
    </w:p>
    <w:p w:rsidR="00367D95" w:rsidRDefault="00367D95">
      <w:pPr>
        <w:pStyle w:val="ConsPlusTitle"/>
        <w:jc w:val="center"/>
      </w:pPr>
    </w:p>
    <w:p w:rsidR="00367D95" w:rsidRDefault="00367D95">
      <w:pPr>
        <w:pStyle w:val="ConsPlusTitle"/>
        <w:jc w:val="center"/>
      </w:pPr>
      <w:r>
        <w:t>ОБ УСТАНОВЛЕНИИ</w:t>
      </w:r>
    </w:p>
    <w:p w:rsidR="00367D95" w:rsidRDefault="00367D95">
      <w:pPr>
        <w:pStyle w:val="ConsPlusTitle"/>
        <w:jc w:val="center"/>
      </w:pPr>
      <w:r>
        <w:t>НОРМАТИВОВ ПРОТИВОПОЖАРНОГО ОБУСТРОЙСТВА ЛЕСОВ</w:t>
      </w:r>
    </w:p>
    <w:p w:rsidR="00367D95" w:rsidRDefault="00367D9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806"/>
        <w:gridCol w:w="113"/>
      </w:tblGrid>
      <w:tr w:rsidR="00367D9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D95" w:rsidRDefault="00367D9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D95" w:rsidRDefault="00367D9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D95" w:rsidRDefault="00367D9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7D95" w:rsidRDefault="00367D9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22.07.2025 N 406)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D95" w:rsidRDefault="00367D95">
            <w:pPr>
              <w:pStyle w:val="ConsPlusNormal"/>
            </w:pPr>
          </w:p>
        </w:tc>
      </w:tr>
    </w:tbl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10 статьи 53.1</w:t>
        </w:r>
      </w:hyperlink>
      <w:r>
        <w:t xml:space="preserve"> Лесного кодекса Российской Федерации и на основании </w:t>
      </w:r>
      <w:hyperlink r:id="rId6">
        <w:r>
          <w:rPr>
            <w:color w:val="0000FF"/>
          </w:rPr>
          <w:t>подпункта 5.2.139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367D95" w:rsidRDefault="00367D95">
      <w:pPr>
        <w:pStyle w:val="ConsPlusNormal"/>
        <w:spacing w:before="220"/>
        <w:ind w:firstLine="540"/>
        <w:jc w:val="both"/>
      </w:pPr>
      <w:r>
        <w:t xml:space="preserve">1. Установить прилагаемые </w:t>
      </w:r>
      <w:hyperlink w:anchor="P32">
        <w:r>
          <w:rPr>
            <w:color w:val="0000FF"/>
          </w:rPr>
          <w:t>нормативы</w:t>
        </w:r>
      </w:hyperlink>
      <w:r>
        <w:t xml:space="preserve"> противопожарного обустройства лесов.</w:t>
      </w:r>
    </w:p>
    <w:p w:rsidR="00367D95" w:rsidRDefault="00367D95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2025 г. и действует до 1 сентября 2031 г.</w:t>
      </w:r>
    </w:p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jc w:val="right"/>
      </w:pPr>
      <w:r>
        <w:t>Исполняющий обязанности Министра</w:t>
      </w:r>
    </w:p>
    <w:p w:rsidR="00367D95" w:rsidRDefault="00367D95">
      <w:pPr>
        <w:pStyle w:val="ConsPlusNormal"/>
        <w:jc w:val="right"/>
      </w:pPr>
      <w:r>
        <w:t>К.А.ЦЫГАНОВ</w:t>
      </w:r>
    </w:p>
    <w:p w:rsidR="00367D95" w:rsidRDefault="00367D95">
      <w:pPr>
        <w:pStyle w:val="ConsPlusNormal"/>
        <w:jc w:val="right"/>
        <w:outlineLvl w:val="0"/>
      </w:pPr>
    </w:p>
    <w:p w:rsidR="00367D95" w:rsidRDefault="00367D95">
      <w:pPr>
        <w:pStyle w:val="ConsPlusNormal"/>
        <w:jc w:val="right"/>
        <w:outlineLvl w:val="0"/>
      </w:pPr>
      <w:r>
        <w:t>Приложение</w:t>
      </w:r>
    </w:p>
    <w:p w:rsidR="00367D95" w:rsidRDefault="00367D95">
      <w:pPr>
        <w:pStyle w:val="ConsPlusNormal"/>
        <w:jc w:val="right"/>
      </w:pPr>
      <w:r>
        <w:t>к приказу Министерства</w:t>
      </w:r>
    </w:p>
    <w:p w:rsidR="00367D95" w:rsidRDefault="00367D95">
      <w:pPr>
        <w:pStyle w:val="ConsPlusNormal"/>
        <w:jc w:val="right"/>
      </w:pPr>
      <w:r>
        <w:t>природных ресурсов и экологии</w:t>
      </w:r>
    </w:p>
    <w:p w:rsidR="00367D95" w:rsidRDefault="00367D95">
      <w:pPr>
        <w:pStyle w:val="ConsPlusNormal"/>
        <w:jc w:val="right"/>
      </w:pPr>
      <w:r>
        <w:t>Российской Федерации</w:t>
      </w:r>
    </w:p>
    <w:p w:rsidR="00367D95" w:rsidRDefault="00367D95" w:rsidP="00367D95">
      <w:pPr>
        <w:pStyle w:val="ConsPlusNormal"/>
        <w:jc w:val="right"/>
      </w:pPr>
      <w:r>
        <w:t>от 09.04.2025 N 184</w:t>
      </w:r>
      <w:bookmarkStart w:id="0" w:name="_GoBack"/>
      <w:bookmarkEnd w:id="0"/>
    </w:p>
    <w:p w:rsidR="00367D95" w:rsidRDefault="00367D95" w:rsidP="00367D95">
      <w:pPr>
        <w:pStyle w:val="ConsPlusTitle"/>
        <w:jc w:val="center"/>
      </w:pPr>
      <w:bookmarkStart w:id="1" w:name="P32"/>
      <w:bookmarkEnd w:id="1"/>
      <w:r>
        <w:t>НОРМАТИВЫ ПРОТИВОПОЖАРНОГО ОБУСТРОЙСТВА ЛЕСОВ</w:t>
      </w:r>
    </w:p>
    <w:p w:rsidR="00367D95" w:rsidRDefault="00367D95">
      <w:pPr>
        <w:pStyle w:val="ConsPlusTitle"/>
        <w:jc w:val="right"/>
        <w:outlineLvl w:val="1"/>
      </w:pPr>
      <w:r>
        <w:t>Часть 1</w:t>
      </w:r>
    </w:p>
    <w:p w:rsidR="00367D95" w:rsidRDefault="00367D95">
      <w:pPr>
        <w:pStyle w:val="ConsPlusNormal"/>
        <w:jc w:val="both"/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276"/>
        <w:gridCol w:w="1275"/>
        <w:gridCol w:w="1134"/>
        <w:gridCol w:w="1134"/>
        <w:gridCol w:w="1276"/>
        <w:gridCol w:w="1134"/>
      </w:tblGrid>
      <w:tr w:rsidR="00367D95" w:rsidTr="00367D95">
        <w:tc>
          <w:tcPr>
            <w:tcW w:w="3261" w:type="dxa"/>
            <w:vMerge w:val="restart"/>
          </w:tcPr>
          <w:p w:rsidR="00367D95" w:rsidRDefault="00367D95">
            <w:pPr>
              <w:pStyle w:val="ConsPlusNormal"/>
              <w:jc w:val="center"/>
            </w:pPr>
            <w:r>
              <w:t>Лесной район</w:t>
            </w:r>
          </w:p>
        </w:tc>
        <w:tc>
          <w:tcPr>
            <w:tcW w:w="1276" w:type="dxa"/>
            <w:vMerge w:val="restart"/>
          </w:tcPr>
          <w:p w:rsidR="00367D95" w:rsidRDefault="00367D95">
            <w:pPr>
              <w:pStyle w:val="ConsPlusNormal"/>
              <w:jc w:val="center"/>
            </w:pPr>
            <w:r>
              <w:t>Протяженность противопожарных разрывов и (или) просек, км (на 1000 га общей площади лесов)</w:t>
            </w:r>
          </w:p>
        </w:tc>
        <w:tc>
          <w:tcPr>
            <w:tcW w:w="1275" w:type="dxa"/>
            <w:vMerge w:val="restart"/>
          </w:tcPr>
          <w:p w:rsidR="00367D95" w:rsidRDefault="00367D95">
            <w:pPr>
              <w:pStyle w:val="ConsPlusNormal"/>
              <w:jc w:val="center"/>
            </w:pPr>
            <w:r>
              <w:t>Протяженность противопожарных минерализованных полос, км (на 1000 га общей площади лесов)</w:t>
            </w:r>
          </w:p>
        </w:tc>
        <w:tc>
          <w:tcPr>
            <w:tcW w:w="2268" w:type="dxa"/>
            <w:gridSpan w:val="2"/>
          </w:tcPr>
          <w:p w:rsidR="00367D95" w:rsidRDefault="00367D95">
            <w:pPr>
              <w:pStyle w:val="ConsPlusNormal"/>
              <w:jc w:val="center"/>
            </w:pPr>
            <w:r>
              <w:t xml:space="preserve">Зоны отдыха граждан, пребывающих в лесах в соответствии со </w:t>
            </w:r>
            <w:hyperlink r:id="rId7">
              <w:r>
                <w:rPr>
                  <w:color w:val="0000FF"/>
                </w:rPr>
                <w:t>статьей 11</w:t>
              </w:r>
            </w:hyperlink>
            <w:r>
              <w:t xml:space="preserve"> Лесного кодекса Российской Федерации, штук (на 1000 га общей площади лесов)</w:t>
            </w:r>
          </w:p>
        </w:tc>
        <w:tc>
          <w:tcPr>
            <w:tcW w:w="2410" w:type="dxa"/>
            <w:gridSpan w:val="2"/>
          </w:tcPr>
          <w:p w:rsidR="00367D95" w:rsidRDefault="00367D95">
            <w:pPr>
              <w:pStyle w:val="ConsPlusNormal"/>
              <w:jc w:val="center"/>
            </w:pPr>
            <w:r>
              <w:t>Стенды и другие знаки и указатели, содержащие информацию о мерах пожарной безопасности в лесах, штук (на 1000 га общей площади лесов)</w:t>
            </w:r>
          </w:p>
        </w:tc>
      </w:tr>
      <w:tr w:rsidR="00367D95" w:rsidTr="00367D95">
        <w:tc>
          <w:tcPr>
            <w:tcW w:w="3261" w:type="dxa"/>
            <w:vMerge/>
          </w:tcPr>
          <w:p w:rsidR="00367D95" w:rsidRDefault="00367D95">
            <w:pPr>
              <w:pStyle w:val="ConsPlusNormal"/>
            </w:pPr>
          </w:p>
        </w:tc>
        <w:tc>
          <w:tcPr>
            <w:tcW w:w="1276" w:type="dxa"/>
            <w:vMerge/>
          </w:tcPr>
          <w:p w:rsidR="00367D95" w:rsidRDefault="00367D95">
            <w:pPr>
              <w:pStyle w:val="ConsPlusNormal"/>
            </w:pPr>
          </w:p>
        </w:tc>
        <w:tc>
          <w:tcPr>
            <w:tcW w:w="1275" w:type="dxa"/>
            <w:vMerge/>
          </w:tcPr>
          <w:p w:rsidR="00367D95" w:rsidRDefault="00367D95">
            <w:pPr>
              <w:pStyle w:val="ConsPlusNormal"/>
            </w:pPr>
          </w:p>
        </w:tc>
        <w:tc>
          <w:tcPr>
            <w:tcW w:w="1134" w:type="dxa"/>
          </w:tcPr>
          <w:p w:rsidR="00367D95" w:rsidRDefault="00367D95">
            <w:pPr>
              <w:pStyle w:val="ConsPlusNormal"/>
              <w:jc w:val="center"/>
            </w:pPr>
            <w:r>
              <w:t>Защитные леса</w:t>
            </w:r>
          </w:p>
        </w:tc>
        <w:tc>
          <w:tcPr>
            <w:tcW w:w="1134" w:type="dxa"/>
          </w:tcPr>
          <w:p w:rsidR="00367D95" w:rsidRDefault="00367D95">
            <w:pPr>
              <w:pStyle w:val="ConsPlusNormal"/>
              <w:jc w:val="center"/>
            </w:pPr>
            <w:r>
              <w:t>Эксплуатационные леса</w:t>
            </w:r>
          </w:p>
        </w:tc>
        <w:tc>
          <w:tcPr>
            <w:tcW w:w="1276" w:type="dxa"/>
          </w:tcPr>
          <w:p w:rsidR="00367D95" w:rsidRDefault="00367D95">
            <w:pPr>
              <w:pStyle w:val="ConsPlusNormal"/>
              <w:jc w:val="center"/>
            </w:pPr>
            <w:r>
              <w:t>Защитные леса</w:t>
            </w:r>
          </w:p>
        </w:tc>
        <w:tc>
          <w:tcPr>
            <w:tcW w:w="1134" w:type="dxa"/>
          </w:tcPr>
          <w:p w:rsidR="00367D95" w:rsidRDefault="00367D95">
            <w:pPr>
              <w:pStyle w:val="ConsPlusNormal"/>
              <w:jc w:val="center"/>
            </w:pPr>
            <w:r>
              <w:t>Эксплуатационные леса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 xml:space="preserve">Зона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 xml:space="preserve">Район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 Европейско-Уральской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Западно-Сибирский</w:t>
            </w:r>
            <w:proofErr w:type="gramEnd"/>
            <w:r>
              <w:t xml:space="preserve"> район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lastRenderedPageBreak/>
              <w:t xml:space="preserve">Среднесибирский район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Восточно-Сибирский</w:t>
            </w:r>
            <w:proofErr w:type="gramEnd"/>
            <w:r>
              <w:t xml:space="preserve"> район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 xml:space="preserve">Дальневосточный район </w:t>
            </w:r>
            <w:proofErr w:type="spellStart"/>
            <w:r>
              <w:t>притундровых</w:t>
            </w:r>
            <w:proofErr w:type="spellEnd"/>
            <w:r>
              <w:t xml:space="preserve"> лесов и </w:t>
            </w:r>
            <w:proofErr w:type="spellStart"/>
            <w:r>
              <w:t>редкостойной</w:t>
            </w:r>
            <w:proofErr w:type="spellEnd"/>
            <w:r>
              <w:t xml:space="preserve"> тайги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>Таежная зона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Северо-таежный район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Карельский северо-таежный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Северо-Уральский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Западно-Сибирский</w:t>
            </w:r>
            <w:proofErr w:type="gramEnd"/>
            <w:r>
              <w:t xml:space="preserve"> северо-таежный равнинный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0,0036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Восточно-Сибирский</w:t>
            </w:r>
            <w:proofErr w:type="gramEnd"/>
            <w:r>
              <w:t xml:space="preserve"> таежный мерзлотный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Камчатский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Балтийско-Белозерский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Двинско-Вычегодский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Карельский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Средне-Уральский</w:t>
            </w:r>
            <w:proofErr w:type="gramEnd"/>
            <w:r>
              <w:t xml:space="preserve">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Среднесибирский плоскогорный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Западно-Уральский</w:t>
            </w:r>
            <w:proofErr w:type="gramEnd"/>
            <w:r>
              <w:t xml:space="preserve">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Западно-Сибирский</w:t>
            </w:r>
            <w:proofErr w:type="gramEnd"/>
            <w:r>
              <w:t xml:space="preserve"> средне-таежный равнинный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0,0036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Южно-таежный район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Западно-Сибирский</w:t>
            </w:r>
            <w:proofErr w:type="gramEnd"/>
            <w:r>
              <w:t xml:space="preserve"> южно-таежный равнинный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0,435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0,377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0,0036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spellStart"/>
            <w:r>
              <w:t>Нижнеангарский</w:t>
            </w:r>
            <w:proofErr w:type="spellEnd"/>
            <w:r>
              <w:t xml:space="preserve">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spellStart"/>
            <w:r>
              <w:t>Среднеангарский</w:t>
            </w:r>
            <w:proofErr w:type="spellEnd"/>
            <w:r>
              <w:t xml:space="preserve">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spellStart"/>
            <w:r>
              <w:lastRenderedPageBreak/>
              <w:t>Верхнеленский</w:t>
            </w:r>
            <w:proofErr w:type="spellEnd"/>
            <w:r>
              <w:t xml:space="preserve">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Дальневосточный 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>Зона хвойно-широколиственных лесов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Район хвойно-широколиственных (смешанных) лесов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spellStart"/>
            <w:r>
              <w:t>Приамурско</w:t>
            </w:r>
            <w:proofErr w:type="spellEnd"/>
            <w:r>
              <w:t>-Приморский хвойно-широколиственный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>Лесостепная зона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Лесостепной район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Южно-Уральский 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Западно-Сибирский</w:t>
            </w:r>
            <w:proofErr w:type="gramEnd"/>
            <w:r>
              <w:t xml:space="preserve"> </w:t>
            </w:r>
            <w:proofErr w:type="spellStart"/>
            <w:r>
              <w:t>подтаежно</w:t>
            </w:r>
            <w:proofErr w:type="spellEnd"/>
            <w:r>
              <w:t>-лесостепной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 xml:space="preserve">Среднесибирский </w:t>
            </w:r>
            <w:proofErr w:type="spellStart"/>
            <w:r>
              <w:t>подтаежно</w:t>
            </w:r>
            <w:proofErr w:type="spellEnd"/>
            <w:r>
              <w:t>-лесостепной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0,435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 xml:space="preserve">Алтае-Новосибирский район </w:t>
            </w:r>
            <w:proofErr w:type="spellStart"/>
            <w:r>
              <w:t>лесостепей</w:t>
            </w:r>
            <w:proofErr w:type="spellEnd"/>
            <w:r>
              <w:t xml:space="preserve"> и ленточных боров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Забайкальский 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0,613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0,377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0,18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Дальневосточный 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0,613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0,377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0,18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>Зона горного Северного Кавказа и горного Крыма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Крымский горный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0,71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proofErr w:type="gramStart"/>
            <w:r>
              <w:t>Северо-Кавказский</w:t>
            </w:r>
            <w:proofErr w:type="gramEnd"/>
            <w:r>
              <w:t xml:space="preserve"> горный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0,71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t>Южно-Сибирская горная зона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Алтае-Саянский горно-лесостепной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Алтае-Саянский горно-таежный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Байкальский горный лесной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0,002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0,091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0,97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0,415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Забайкальский горный лесной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0,435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0,032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0,377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0,184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Забайкальский горно-мерзлотный район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0,02</w:t>
            </w:r>
          </w:p>
        </w:tc>
      </w:tr>
      <w:tr w:rsidR="00367D95" w:rsidTr="00367D95">
        <w:tc>
          <w:tcPr>
            <w:tcW w:w="10490" w:type="dxa"/>
            <w:gridSpan w:val="7"/>
            <w:vAlign w:val="center"/>
          </w:tcPr>
          <w:p w:rsidR="00367D95" w:rsidRDefault="00367D95">
            <w:pPr>
              <w:pStyle w:val="ConsPlusNormal"/>
              <w:jc w:val="center"/>
              <w:outlineLvl w:val="2"/>
            </w:pPr>
            <w:r>
              <w:lastRenderedPageBreak/>
              <w:t>Степная зона и зона полупустынь и пустынь европейской части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Район степей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</w:tr>
      <w:tr w:rsidR="00367D95" w:rsidTr="00367D95">
        <w:tc>
          <w:tcPr>
            <w:tcW w:w="3261" w:type="dxa"/>
            <w:vAlign w:val="center"/>
          </w:tcPr>
          <w:p w:rsidR="00367D95" w:rsidRDefault="00367D95">
            <w:pPr>
              <w:pStyle w:val="ConsPlusNormal"/>
              <w:jc w:val="both"/>
            </w:pPr>
            <w:r>
              <w:t>Район полупустынь и пустынь европейской части Российской Федерации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75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367D95" w:rsidRDefault="00367D95">
            <w:pPr>
              <w:pStyle w:val="ConsPlusNormal"/>
              <w:jc w:val="center"/>
            </w:pPr>
            <w:r>
              <w:t>0,5</w:t>
            </w:r>
          </w:p>
        </w:tc>
      </w:tr>
    </w:tbl>
    <w:p w:rsidR="00367D95" w:rsidRDefault="00367D95">
      <w:pPr>
        <w:pStyle w:val="ConsPlusNormal"/>
        <w:jc w:val="both"/>
      </w:pPr>
    </w:p>
    <w:p w:rsidR="00367D95" w:rsidRDefault="00367D95">
      <w:pPr>
        <w:pStyle w:val="ConsPlusTitle"/>
        <w:jc w:val="right"/>
        <w:outlineLvl w:val="1"/>
      </w:pPr>
      <w:r>
        <w:t>Часть 2</w:t>
      </w:r>
    </w:p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sectPr w:rsidR="00367D95" w:rsidSect="00367D95">
          <w:pgSz w:w="11906" w:h="16838"/>
          <w:pgMar w:top="510" w:right="567" w:bottom="510" w:left="124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8"/>
        <w:gridCol w:w="1442"/>
        <w:gridCol w:w="1729"/>
        <w:gridCol w:w="1435"/>
        <w:gridCol w:w="1555"/>
        <w:gridCol w:w="1223"/>
        <w:gridCol w:w="1554"/>
        <w:gridCol w:w="1469"/>
        <w:gridCol w:w="1328"/>
        <w:gridCol w:w="1390"/>
        <w:gridCol w:w="1471"/>
      </w:tblGrid>
      <w:tr w:rsidR="00367D95">
        <w:tc>
          <w:tcPr>
            <w:tcW w:w="1474" w:type="dxa"/>
          </w:tcPr>
          <w:p w:rsidR="00367D95" w:rsidRDefault="00367D95">
            <w:pPr>
              <w:pStyle w:val="ConsPlusNormal"/>
              <w:jc w:val="center"/>
            </w:pPr>
            <w:r>
              <w:lastRenderedPageBreak/>
              <w:t xml:space="preserve">Создание, содержание и эксплуатация лесных дорог, предназначенных для охраны лесов от пожаров, единиц </w:t>
            </w:r>
            <w:hyperlink w:anchor="P37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</w:tcPr>
          <w:p w:rsidR="00367D95" w:rsidRDefault="00367D95">
            <w:pPr>
              <w:pStyle w:val="ConsPlusNormal"/>
              <w:jc w:val="center"/>
            </w:pPr>
            <w:r>
              <w:t>Создание, содержание и эксплуатация посадочных площадок, используемых в целях проведения авиационных работ по охране лесов от пожаров, единиц</w:t>
            </w:r>
          </w:p>
        </w:tc>
        <w:tc>
          <w:tcPr>
            <w:tcW w:w="1870" w:type="dxa"/>
          </w:tcPr>
          <w:p w:rsidR="00367D95" w:rsidRDefault="00367D95">
            <w:pPr>
              <w:pStyle w:val="ConsPlusNormal"/>
              <w:jc w:val="center"/>
            </w:pPr>
            <w:r>
              <w:t>Создание, содержание и эксплуатация пожарных наблюдательных пунктов (вышек, мачт, павильонов и других наблюдательных пунктов), штук</w:t>
            </w:r>
          </w:p>
        </w:tc>
        <w:tc>
          <w:tcPr>
            <w:tcW w:w="1644" w:type="dxa"/>
          </w:tcPr>
          <w:p w:rsidR="00367D95" w:rsidRDefault="00367D95">
            <w:pPr>
              <w:pStyle w:val="ConsPlusNormal"/>
              <w:jc w:val="center"/>
            </w:pPr>
            <w:r>
              <w:t>Создание в целях тушения лесных пожаров условий для забора в любое время года воды из источников наружного водоснабжения, единиц</w:t>
            </w:r>
          </w:p>
        </w:tc>
        <w:tc>
          <w:tcPr>
            <w:tcW w:w="1474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Прочистка просек, прочистка противопожарных минерализованных полос и их обновление, км </w:t>
            </w:r>
            <w:hyperlink w:anchor="P37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94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Снижение природной пожарной опасности лесов путем регулирования породного состава лесных насаждений, единиц </w:t>
            </w:r>
            <w:hyperlink w:anchor="P374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94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Проведение профилактического контролируемого противопожарного выжигания хвороста, лесной подстилки, сухой травы и других лесных горючих материалов, га </w:t>
            </w:r>
            <w:hyperlink w:anchor="P375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94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Проведение гидромелиорации земель, единиц </w:t>
            </w:r>
            <w:hyperlink w:anchor="P376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94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Эксплуатация пожарных водоемов и подъездов к источникам водоснабжения, единиц </w:t>
            </w:r>
            <w:hyperlink w:anchor="P377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60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безопасности, штук </w:t>
            </w:r>
            <w:hyperlink w:anchor="P377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299" w:type="dxa"/>
          </w:tcPr>
          <w:p w:rsidR="00367D95" w:rsidRDefault="00367D95">
            <w:pPr>
              <w:pStyle w:val="ConsPlusNormal"/>
              <w:jc w:val="center"/>
            </w:pPr>
            <w:r>
              <w:t xml:space="preserve">Создание и содержание противопожарных заслонов и устройство лиственных опушек, единиц </w:t>
            </w:r>
            <w:hyperlink w:anchor="P377">
              <w:r>
                <w:rPr>
                  <w:color w:val="0000FF"/>
                </w:rPr>
                <w:t>&lt;6&gt;</w:t>
              </w:r>
            </w:hyperlink>
          </w:p>
        </w:tc>
      </w:tr>
      <w:tr w:rsidR="00367D95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t xml:space="preserve">Не нормируются, выполняются только в районе применения наземных сил и средств пожаротушения с учетом наличия существующей транспортной сети (в том числе лесных </w:t>
            </w:r>
            <w:r>
              <w:lastRenderedPageBreak/>
              <w:t>проездов)</w:t>
            </w:r>
          </w:p>
        </w:tc>
        <w:tc>
          <w:tcPr>
            <w:tcW w:w="1474" w:type="dxa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lastRenderedPageBreak/>
              <w:t xml:space="preserve">Не нормируются, выполняются в зоне, лесоавиационных работ в количестве не менее одной площадки на лесничество, с учетом наличия действующих площадок для </w:t>
            </w:r>
            <w:r>
              <w:lastRenderedPageBreak/>
              <w:t>самолетов и вертолетов</w:t>
            </w:r>
          </w:p>
        </w:tc>
        <w:tc>
          <w:tcPr>
            <w:tcW w:w="1870" w:type="dxa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lastRenderedPageBreak/>
              <w:t xml:space="preserve">Не нормируются, выполняются в районе применения наземных сил и средств пожаротушения, а также вблизи населенных пунктов и объектов экономики, в которых пожарные наблюдательные пункты, </w:t>
            </w:r>
            <w:r>
              <w:lastRenderedPageBreak/>
              <w:t xml:space="preserve">оснащенные техническими средствами для автоматизированного обнаружения лесных пожаров, планируются с учетом существующей сети пожарных наблюдательных пунктов и (или) средств </w:t>
            </w:r>
            <w:proofErr w:type="spellStart"/>
            <w:r>
              <w:t>видеомониторинга</w:t>
            </w:r>
            <w:proofErr w:type="spellEnd"/>
            <w:r>
              <w:t>, установленных на вышках сотовых операторов, а также особенностей рельефа, целевого назначения лесов, природной пожарной опасности территорий</w:t>
            </w:r>
          </w:p>
        </w:tc>
        <w:tc>
          <w:tcPr>
            <w:tcW w:w="1644" w:type="dxa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lastRenderedPageBreak/>
              <w:t xml:space="preserve">Не нормируются, выполняется в районах применения наземных сил и средств пожаротушения исходя из текущей обеспеченности территории </w:t>
            </w:r>
            <w:proofErr w:type="spellStart"/>
            <w:r>
              <w:t>водоисточниками</w:t>
            </w:r>
            <w:proofErr w:type="spellEnd"/>
            <w:r>
              <w:t xml:space="preserve"> для тушения </w:t>
            </w:r>
            <w:r>
              <w:lastRenderedPageBreak/>
              <w:t>пожаров водой, а также наличия вблизи водоемов транспортной доступности.</w:t>
            </w:r>
          </w:p>
          <w:p w:rsidR="00367D95" w:rsidRDefault="00367D95">
            <w:pPr>
              <w:pStyle w:val="ConsPlusNormal"/>
              <w:jc w:val="center"/>
            </w:pPr>
            <w:r>
              <w:t>При планировании условий для забора воды необходимо учитывать, что один водоем может обеспечить бесперебойную доставку воды в насаждениях I класса природной пожарной опасности на площади 500 га, II класса - 5000 га, III - V классов 10000 га</w:t>
            </w:r>
          </w:p>
        </w:tc>
        <w:tc>
          <w:tcPr>
            <w:tcW w:w="1474" w:type="dxa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lastRenderedPageBreak/>
              <w:t>Не нормируются, осуществляются ежегодно и может быть однократной или трехкратной в зависимости от лесорастительных условий</w:t>
            </w:r>
          </w:p>
        </w:tc>
        <w:tc>
          <w:tcPr>
            <w:tcW w:w="7835" w:type="dxa"/>
            <w:gridSpan w:val="6"/>
            <w:tcBorders>
              <w:bottom w:val="nil"/>
            </w:tcBorders>
          </w:tcPr>
          <w:p w:rsidR="00367D95" w:rsidRDefault="00367D95">
            <w:pPr>
              <w:pStyle w:val="ConsPlusNormal"/>
              <w:jc w:val="center"/>
            </w:pPr>
            <w:r>
              <w:t>Не нормируются</w:t>
            </w:r>
          </w:p>
        </w:tc>
      </w:tr>
      <w:tr w:rsidR="00367D95">
        <w:tblPrEx>
          <w:tblBorders>
            <w:insideH w:val="nil"/>
          </w:tblBorders>
        </w:tblPrEx>
        <w:tc>
          <w:tcPr>
            <w:tcW w:w="15771" w:type="dxa"/>
            <w:gridSpan w:val="11"/>
            <w:tcBorders>
              <w:top w:val="nil"/>
            </w:tcBorders>
          </w:tcPr>
          <w:p w:rsidR="00367D95" w:rsidRDefault="00367D95">
            <w:pPr>
              <w:pStyle w:val="ConsPlusNormal"/>
              <w:jc w:val="both"/>
            </w:pPr>
            <w: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t xml:space="preserve"> Минприроды России от 22.07.2025 N 406)</w:t>
            </w:r>
          </w:p>
        </w:tc>
      </w:tr>
    </w:tbl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ind w:firstLine="540"/>
        <w:jc w:val="both"/>
      </w:pPr>
      <w:r>
        <w:t>--------------------------------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2" w:name="P372"/>
      <w:bookmarkEnd w:id="2"/>
      <w:r>
        <w:t xml:space="preserve">&lt;1&gt; </w:t>
      </w:r>
      <w:hyperlink r:id="rId9">
        <w:r>
          <w:rPr>
            <w:color w:val="0000FF"/>
          </w:rPr>
          <w:t>Пункт 7</w:t>
        </w:r>
      </w:hyperlink>
      <w:r>
        <w:t xml:space="preserve"> Правил тушения лесных пожаров, утвержденных приказом Минприроды России от 01.04.2022 N 244 (зарегистрирован Министерством юстиции Российской Федерации 12.08.2022, регистрационный N 69620). Срок действия документа ограничен 01.03.2029. </w:t>
      </w:r>
      <w:hyperlink r:id="rId10">
        <w:r>
          <w:rPr>
            <w:color w:val="0000FF"/>
          </w:rPr>
          <w:t>Порядок</w:t>
        </w:r>
      </w:hyperlink>
      <w:r>
        <w:t xml:space="preserve"> проектирования, создания, содержания и эксплуатации объектов лесной инфраструктуры, утвержденный приказом Минприроды России от 05.08.2020 N 565 (зарегистрирован Министерством юстиции Российской Федерации 20.11.2020, регистрационный N 61050). Срок действия документа ограничен 01.01.2027.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3" w:name="P373"/>
      <w:bookmarkEnd w:id="3"/>
      <w:r>
        <w:t xml:space="preserve">&lt;2&gt; </w:t>
      </w:r>
      <w:hyperlink r:id="rId11">
        <w:r>
          <w:rPr>
            <w:color w:val="0000FF"/>
          </w:rPr>
          <w:t>Абзац третий</w:t>
        </w:r>
      </w:hyperlink>
      <w:r>
        <w:t xml:space="preserve"> постановления Правительства Российской Федерации от 16.04.2011 N 281 "О мерах противопожарного обустройства лесов".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4" w:name="P374"/>
      <w:bookmarkEnd w:id="4"/>
      <w:r>
        <w:t xml:space="preserve">&lt;3&gt; Лесоустроительная </w:t>
      </w:r>
      <w:hyperlink r:id="rId12">
        <w:r>
          <w:rPr>
            <w:color w:val="0000FF"/>
          </w:rPr>
          <w:t>инструкция</w:t>
        </w:r>
      </w:hyperlink>
      <w:r>
        <w:t>, утвержденная приказом Минприроды России от 05.08.2022 N 510 (зарегистрирован Министерством юстиции Российской Федерации 30.09.2022, регистрационный N 70328). Срок действия документа ограничен 01.03.2029.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5" w:name="P375"/>
      <w:bookmarkEnd w:id="5"/>
      <w:r>
        <w:t xml:space="preserve">&lt;4&gt; Методические </w:t>
      </w:r>
      <w:hyperlink r:id="rId13">
        <w:r>
          <w:rPr>
            <w:color w:val="0000FF"/>
          </w:rPr>
          <w:t>указания</w:t>
        </w:r>
      </w:hyperlink>
      <w:r>
        <w:t xml:space="preserve"> по организации и проведению профилактических контролируемых противопожарных выжиганий хвороста, лесной подстилки, сухой травы и других лесных горючих материалов в лесах, расположенных на землях лесного фонда, утвержденные приказом Минприроды России от 27.08.2019 N 580 (зарегистрирован Министерством юстиции Российской Федерации 24.09.2019, регистрационный N 56041).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6" w:name="P376"/>
      <w:bookmarkEnd w:id="6"/>
      <w:r>
        <w:t xml:space="preserve">&lt;5&gt; </w:t>
      </w:r>
      <w:hyperlink r:id="rId14">
        <w:r>
          <w:rPr>
            <w:color w:val="0000FF"/>
          </w:rPr>
          <w:t>Порядок</w:t>
        </w:r>
      </w:hyperlink>
      <w:r>
        <w:t xml:space="preserve"> разработки, согласования и утверждения проектов мелиорации земель, утвержденный приказом Минсельхоза России от 15.05.2019 N 255 (зарегистрирован Министерством юстиции Российской Федерации 03.10.2019, регистрационный N 56119).</w:t>
      </w:r>
    </w:p>
    <w:p w:rsidR="00367D95" w:rsidRDefault="00367D95">
      <w:pPr>
        <w:pStyle w:val="ConsPlusNormal"/>
        <w:spacing w:before="220"/>
        <w:ind w:firstLine="540"/>
        <w:jc w:val="both"/>
      </w:pPr>
      <w:bookmarkStart w:id="7" w:name="P377"/>
      <w:bookmarkEnd w:id="7"/>
      <w:r>
        <w:t xml:space="preserve">&lt;6&gt; </w:t>
      </w:r>
      <w:hyperlink r:id="rId15">
        <w:r>
          <w:rPr>
            <w:color w:val="0000FF"/>
          </w:rPr>
          <w:t>Пункт 11</w:t>
        </w:r>
      </w:hyperlink>
      <w:r>
        <w:t xml:space="preserve"> Правил разработки и утверждения плана противопожарного обустройства лесов на территории лесничества, утвержденных постановлением Правительства Российской Федерации от 27.12.2023 N 2332.</w:t>
      </w:r>
    </w:p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jc w:val="both"/>
      </w:pPr>
    </w:p>
    <w:p w:rsidR="00367D95" w:rsidRDefault="00367D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2650" w:rsidRDefault="00EF2650"/>
    <w:sectPr w:rsidR="00EF2650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95"/>
    <w:rsid w:val="00367D95"/>
    <w:rsid w:val="00E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F0653-6D7A-472A-90F6-32D4B29B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7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7D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971&amp;dst=100006" TargetMode="External"/><Relationship Id="rId13" Type="http://schemas.openxmlformats.org/officeDocument/2006/relationships/hyperlink" Target="https://login.consultant.ru/link/?req=doc&amp;base=LAW&amp;n=334242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863&amp;dst=100050" TargetMode="External"/><Relationship Id="rId12" Type="http://schemas.openxmlformats.org/officeDocument/2006/relationships/hyperlink" Target="https://login.consultant.ru/link/?req=doc&amp;base=LAW&amp;n=427913&amp;dst=10001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820&amp;dst=100168" TargetMode="External"/><Relationship Id="rId11" Type="http://schemas.openxmlformats.org/officeDocument/2006/relationships/hyperlink" Target="https://login.consultant.ru/link/?req=doc&amp;base=LAW&amp;n=113132&amp;dst=100006" TargetMode="External"/><Relationship Id="rId5" Type="http://schemas.openxmlformats.org/officeDocument/2006/relationships/hyperlink" Target="https://login.consultant.ru/link/?req=doc&amp;base=LAW&amp;n=499863&amp;dst=1704" TargetMode="External"/><Relationship Id="rId15" Type="http://schemas.openxmlformats.org/officeDocument/2006/relationships/hyperlink" Target="https://login.consultant.ru/link/?req=doc&amp;base=LAW&amp;n=466211&amp;dst=100060" TargetMode="External"/><Relationship Id="rId10" Type="http://schemas.openxmlformats.org/officeDocument/2006/relationships/hyperlink" Target="https://login.consultant.ru/link/?req=doc&amp;base=LAW&amp;n=368482&amp;dst=100010" TargetMode="External"/><Relationship Id="rId4" Type="http://schemas.openxmlformats.org/officeDocument/2006/relationships/hyperlink" Target="https://login.consultant.ru/link/?req=doc&amp;base=LAW&amp;n=516971&amp;dst=100006" TargetMode="External"/><Relationship Id="rId9" Type="http://schemas.openxmlformats.org/officeDocument/2006/relationships/hyperlink" Target="https://login.consultant.ru/link/?req=doc&amp;base=LAW&amp;n=424456&amp;dst=100058" TargetMode="External"/><Relationship Id="rId14" Type="http://schemas.openxmlformats.org/officeDocument/2006/relationships/hyperlink" Target="https://login.consultant.ru/link/?req=doc&amp;base=LAW&amp;n=33474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2025-11-25T11:31:00Z</dcterms:created>
  <dcterms:modified xsi:type="dcterms:W3CDTF">2025-11-25T11:38:00Z</dcterms:modified>
</cp:coreProperties>
</file>